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04735" w14:textId="265BBD17" w:rsidR="006525BD" w:rsidRPr="007B378C" w:rsidRDefault="006525BD" w:rsidP="006525BD">
      <w:pPr>
        <w:tabs>
          <w:tab w:val="center" w:pos="4536"/>
          <w:tab w:val="right" w:pos="7938"/>
          <w:tab w:val="right" w:pos="9639"/>
        </w:tabs>
        <w:ind w:right="2"/>
        <w:rPr>
          <w:b/>
          <w:bCs/>
          <w:sz w:val="28"/>
        </w:rPr>
      </w:pPr>
      <w:r w:rsidRPr="007B378C">
        <w:rPr>
          <w:b/>
          <w:bCs/>
          <w:sz w:val="28"/>
        </w:rPr>
        <w:t>3GPP TSG RAN WG1 #11</w:t>
      </w:r>
      <w:r>
        <w:rPr>
          <w:b/>
          <w:bCs/>
          <w:sz w:val="28"/>
        </w:rPr>
        <w:t>3</w:t>
      </w:r>
      <w:r w:rsidRPr="007B378C">
        <w:rPr>
          <w:b/>
          <w:bCs/>
          <w:sz w:val="28"/>
        </w:rPr>
        <w:tab/>
      </w:r>
      <w:r w:rsidRPr="007B378C">
        <w:rPr>
          <w:b/>
          <w:bCs/>
          <w:sz w:val="28"/>
        </w:rPr>
        <w:tab/>
      </w:r>
      <w:r w:rsidRPr="007B378C">
        <w:rPr>
          <w:b/>
          <w:bCs/>
          <w:sz w:val="28"/>
        </w:rPr>
        <w:tab/>
      </w:r>
      <w:r w:rsidRPr="00DB3CFC">
        <w:rPr>
          <w:b/>
          <w:bCs/>
          <w:sz w:val="28"/>
        </w:rPr>
        <w:t>R1-230</w:t>
      </w:r>
      <w:r w:rsidR="00DB3CFC">
        <w:rPr>
          <w:b/>
          <w:bCs/>
          <w:sz w:val="28"/>
        </w:rPr>
        <w:t>5281</w:t>
      </w:r>
    </w:p>
    <w:p w14:paraId="46D89EA2" w14:textId="77777777" w:rsidR="006525BD" w:rsidRPr="007B378C" w:rsidRDefault="006525BD" w:rsidP="006525BD">
      <w:pPr>
        <w:tabs>
          <w:tab w:val="center" w:pos="4536"/>
          <w:tab w:val="right" w:pos="9072"/>
        </w:tabs>
        <w:rPr>
          <w:rFonts w:eastAsia="MS Mincho"/>
          <w:b/>
          <w:bCs/>
          <w:sz w:val="28"/>
          <w:lang w:eastAsia="ja-JP"/>
        </w:rPr>
      </w:pPr>
      <w:r>
        <w:rPr>
          <w:rFonts w:eastAsia="MS Mincho"/>
          <w:b/>
          <w:bCs/>
          <w:sz w:val="28"/>
          <w:lang w:eastAsia="ja-JP"/>
        </w:rPr>
        <w:t>Incheon</w:t>
      </w:r>
      <w:r w:rsidRPr="007B378C">
        <w:rPr>
          <w:rFonts w:eastAsia="MS Mincho"/>
          <w:b/>
          <w:bCs/>
          <w:sz w:val="28"/>
          <w:lang w:eastAsia="ja-JP"/>
        </w:rPr>
        <w:t>,</w:t>
      </w:r>
      <w:r>
        <w:rPr>
          <w:rFonts w:eastAsia="MS Mincho"/>
          <w:b/>
          <w:bCs/>
          <w:sz w:val="28"/>
          <w:lang w:eastAsia="ja-JP"/>
        </w:rPr>
        <w:t xml:space="preserve"> Korea,</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w:t>
      </w:r>
      <w:r>
        <w:rPr>
          <w:rFonts w:eastAsia="MS Mincho"/>
          <w:b/>
          <w:bCs/>
          <w:sz w:val="28"/>
          <w:lang w:eastAsia="ja-JP"/>
        </w:rPr>
        <w:t>22</w:t>
      </w:r>
      <w:r w:rsidRPr="00317AEE">
        <w:rPr>
          <w:rFonts w:eastAsia="MS Mincho"/>
          <w:b/>
          <w:bCs/>
          <w:sz w:val="28"/>
          <w:vertAlign w:val="superscript"/>
          <w:lang w:eastAsia="ja-JP"/>
        </w:rPr>
        <w:t>nd</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26</w:t>
      </w:r>
      <w:r w:rsidRPr="007B378C">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3D111FFA"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47712A" w:rsidRPr="006525BD">
        <w:rPr>
          <w:rFonts w:ascii="Times New Roman" w:eastAsia="Malgun Gothic" w:hAnsi="Times New Roman"/>
          <w:szCs w:val="24"/>
          <w:lang w:eastAsia="zh-CN"/>
        </w:rPr>
        <w:t>9.16.11</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6303103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47712A" w:rsidRPr="006525BD">
        <w:rPr>
          <w:rFonts w:ascii="Times New Roman" w:eastAsia="Malgun Gothic" w:hAnsi="Times New Roman"/>
          <w:szCs w:val="24"/>
          <w:lang w:eastAsia="zh-CN"/>
        </w:rPr>
        <w:t xml:space="preserve">On UE </w:t>
      </w:r>
      <w:r w:rsidR="006206DF">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eatures for Rel-18 IoT NTN Enhancements</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021C3C48" w14:textId="2F6DFDCE" w:rsidR="0047712A" w:rsidRDefault="0047712A" w:rsidP="000F70F9">
      <w:pPr>
        <w:jc w:val="both"/>
        <w:rPr>
          <w:rFonts w:eastAsia="Malgun Gothic"/>
        </w:rPr>
      </w:pPr>
      <w:r w:rsidRPr="006525BD">
        <w:rPr>
          <w:rFonts w:eastAsia="Malgun Gothic"/>
        </w:rPr>
        <w:t xml:space="preserve">The Release-18 IoT NTN enhancement work item was approved in RAN #94e meeting </w:t>
      </w:r>
      <w:r w:rsidRPr="006525BD">
        <w:rPr>
          <w:rFonts w:eastAsia="Malgun Gothic"/>
        </w:rPr>
        <w:fldChar w:fldCharType="begin"/>
      </w:r>
      <w:r w:rsidRPr="006525BD">
        <w:rPr>
          <w:rFonts w:eastAsia="Malgun Gothic"/>
        </w:rPr>
        <w:instrText xml:space="preserve"> REF _Ref99716514 \r \h </w:instrText>
      </w:r>
      <w:r w:rsidR="006525BD">
        <w:rPr>
          <w:rFonts w:eastAsia="Malgun Gothic"/>
        </w:rPr>
        <w:instrText xml:space="preserve"> \* MERGEFORMAT </w:instrText>
      </w:r>
      <w:r w:rsidRPr="006525BD">
        <w:rPr>
          <w:rFonts w:eastAsia="Malgun Gothic"/>
        </w:rPr>
      </w:r>
      <w:r w:rsidRPr="006525BD">
        <w:rPr>
          <w:rFonts w:eastAsia="Malgun Gothic"/>
        </w:rPr>
        <w:fldChar w:fldCharType="separate"/>
      </w:r>
      <w:r w:rsidRPr="006525BD">
        <w:rPr>
          <w:rFonts w:eastAsia="Malgun Gothic"/>
        </w:rPr>
        <w:t>[1]</w:t>
      </w:r>
      <w:r w:rsidRPr="006525BD">
        <w:rPr>
          <w:rFonts w:eastAsia="Malgun Gothic"/>
        </w:rPr>
        <w:fldChar w:fldCharType="end"/>
      </w:r>
      <w:r w:rsidRPr="006525BD">
        <w:rPr>
          <w:rFonts w:eastAsia="Malgun Gothic"/>
        </w:rPr>
        <w:t xml:space="preserve"> and updated in RAN #96e meeting </w:t>
      </w:r>
      <w:r w:rsidRPr="006525BD">
        <w:rPr>
          <w:rFonts w:eastAsia="Malgun Gothic"/>
        </w:rPr>
        <w:fldChar w:fldCharType="begin"/>
      </w:r>
      <w:r w:rsidRPr="006525BD">
        <w:rPr>
          <w:rFonts w:eastAsia="Malgun Gothic"/>
        </w:rPr>
        <w:instrText xml:space="preserve"> REF _Ref100217924 \r \h </w:instrText>
      </w:r>
      <w:r w:rsidRPr="006525BD">
        <w:rPr>
          <w:rFonts w:eastAsia="Malgun Gothic"/>
        </w:rPr>
      </w:r>
      <w:r w:rsidRPr="006525BD">
        <w:rPr>
          <w:rFonts w:eastAsia="Malgun Gothic"/>
        </w:rPr>
        <w:fldChar w:fldCharType="separate"/>
      </w:r>
      <w:r w:rsidRPr="006525BD">
        <w:rPr>
          <w:rFonts w:eastAsia="Malgun Gothic"/>
        </w:rPr>
        <w:t>[2]</w:t>
      </w:r>
      <w:r w:rsidRPr="006525BD">
        <w:rPr>
          <w:rFonts w:eastAsia="Malgun Gothic"/>
        </w:rPr>
        <w:fldChar w:fldCharType="end"/>
      </w:r>
      <w:r w:rsidRPr="006525BD">
        <w:rPr>
          <w:rFonts w:eastAsia="Malgun Gothic"/>
        </w:rPr>
        <w:t xml:space="preserve">. </w:t>
      </w:r>
      <w:r w:rsidR="00183868" w:rsidRPr="006525BD">
        <w:rPr>
          <w:rFonts w:eastAsia="Malgun Gothic"/>
        </w:rPr>
        <w:t>RAN1-related</w:t>
      </w:r>
      <w:r w:rsidRPr="006525BD">
        <w:rPr>
          <w:rFonts w:eastAsia="Malgun Gothic"/>
        </w:rPr>
        <w:t xml:space="preserve"> objectives are </w:t>
      </w:r>
      <w:r w:rsidR="00183868" w:rsidRPr="006525BD">
        <w:rPr>
          <w:rFonts w:eastAsia="Malgun Gothic"/>
        </w:rPr>
        <w:t>shown</w:t>
      </w:r>
      <w:r w:rsidRPr="006525BD">
        <w:rPr>
          <w:rFonts w:eastAsia="Malgun Gothic"/>
        </w:rPr>
        <w:t xml:space="preserve"> below.</w:t>
      </w:r>
    </w:p>
    <w:p w14:paraId="6EBD5E74" w14:textId="77777777" w:rsidR="000F70F9" w:rsidRPr="006525BD" w:rsidRDefault="000F70F9" w:rsidP="000F70F9">
      <w:pPr>
        <w:jc w:val="both"/>
        <w:rPr>
          <w:rFonts w:eastAsia="Malgun Gothic"/>
        </w:rPr>
      </w:pPr>
    </w:p>
    <w:p w14:paraId="10943397" w14:textId="77777777" w:rsidR="0047712A" w:rsidRPr="0047712A" w:rsidRDefault="0047712A" w:rsidP="000F70F9">
      <w:pPr>
        <w:pStyle w:val="B1"/>
        <w:rPr>
          <w:i/>
          <w:iCs/>
        </w:rPr>
      </w:pPr>
      <w:r w:rsidRPr="0047712A">
        <w:rPr>
          <w:i/>
          <w:iCs/>
        </w:rPr>
        <w:t>-</w:t>
      </w:r>
      <w:r w:rsidRPr="0047712A">
        <w:rPr>
          <w:i/>
          <w:iCs/>
        </w:rPr>
        <w:tab/>
        <w:t>Disabling of HARQ feedback to mitigate impact of HARQ stalling on UE data rates [RAN</w:t>
      </w:r>
      <w:proofErr w:type="gramStart"/>
      <w:r w:rsidRPr="0047712A">
        <w:rPr>
          <w:i/>
          <w:iCs/>
        </w:rPr>
        <w:t>1,RAN</w:t>
      </w:r>
      <w:proofErr w:type="gramEnd"/>
      <w:r w:rsidRPr="0047712A">
        <w:rPr>
          <w:i/>
          <w:iCs/>
        </w:rPr>
        <w:t>2]</w:t>
      </w:r>
    </w:p>
    <w:p w14:paraId="41DE0D0E" w14:textId="08FDCDA7" w:rsidR="006525BD" w:rsidRPr="0047712A" w:rsidRDefault="0047712A" w:rsidP="000F70F9">
      <w:pPr>
        <w:pStyle w:val="B1"/>
        <w:rPr>
          <w:i/>
          <w:iCs/>
        </w:rPr>
      </w:pPr>
      <w:r w:rsidRPr="0047712A">
        <w:rPr>
          <w:i/>
          <w:iCs/>
        </w:rPr>
        <w:t>-</w:t>
      </w:r>
      <w:r w:rsidRPr="0047712A">
        <w:rPr>
          <w:i/>
          <w:iCs/>
        </w:rPr>
        <w:tab/>
        <w:t>Study and specify needed improved GNSS operations for a new position fix for UE pre-compensation during long connection times and for reduced power consumption. Simultaneous GNSS and NTN NB-IoT/eMTC operation is not assumed. [RAN1, RAN2]</w:t>
      </w:r>
    </w:p>
    <w:p w14:paraId="0FDDB468" w14:textId="77777777" w:rsidR="000F70F9" w:rsidRDefault="000F70F9" w:rsidP="000F70F9">
      <w:pPr>
        <w:rPr>
          <w:rFonts w:eastAsia="MS Mincho"/>
          <w:lang w:eastAsia="ja-JP"/>
        </w:rPr>
      </w:pPr>
    </w:p>
    <w:p w14:paraId="11C353A6" w14:textId="3F392F70" w:rsidR="006525BD" w:rsidRP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s on IoT NTN enhancements</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216BA080" w14:textId="375A4423" w:rsidR="006525BD" w:rsidRPr="006525BD" w:rsidRDefault="0033104D" w:rsidP="00733020">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D81859">
        <w:rPr>
          <w:rFonts w:cs="Arial"/>
          <w:bCs/>
          <w:szCs w:val="36"/>
          <w:lang w:val="en-US" w:eastAsia="zh-CN"/>
        </w:rPr>
        <w:t>IoT NTN</w:t>
      </w:r>
      <w:r w:rsidR="00ED4C77" w:rsidRPr="00D81859">
        <w:rPr>
          <w:rFonts w:cs="Arial"/>
          <w:bCs/>
          <w:szCs w:val="36"/>
          <w:lang w:val="en-US" w:eastAsia="zh-CN"/>
        </w:rPr>
        <w:t xml:space="preserve"> UE features</w:t>
      </w:r>
    </w:p>
    <w:p w14:paraId="2909B351" w14:textId="021973DD" w:rsidR="006525BD" w:rsidRDefault="006525BD" w:rsidP="000F70F9">
      <w:pPr>
        <w:jc w:val="both"/>
        <w:rPr>
          <w:color w:val="000000"/>
        </w:rPr>
      </w:pPr>
      <w:r>
        <w:rPr>
          <w:color w:val="000000"/>
        </w:rPr>
        <w:t>Based on the agreements made until the RAN1#112b</w:t>
      </w:r>
      <w:r w:rsidR="008E02C6">
        <w:rPr>
          <w:color w:val="000000"/>
        </w:rPr>
        <w:t>-e</w:t>
      </w:r>
      <w:r>
        <w:rPr>
          <w:color w:val="000000"/>
        </w:rPr>
        <w:t xml:space="preserve"> meeting, for NB-IoT over NTN, the HARQ feedback disabling</w:t>
      </w:r>
      <w:r w:rsidR="008E02C6">
        <w:rPr>
          <w:color w:val="000000"/>
        </w:rPr>
        <w:t xml:space="preserve"> for downlink transmissions</w:t>
      </w:r>
      <w:r>
        <w:rPr>
          <w:color w:val="000000"/>
        </w:rPr>
        <w:t xml:space="preserve"> is supported in three different ways:</w:t>
      </w:r>
    </w:p>
    <w:p w14:paraId="4F6D4FCB" w14:textId="0AD0F19D" w:rsidR="006525BD" w:rsidRDefault="006525BD" w:rsidP="000F70F9">
      <w:pPr>
        <w:pStyle w:val="ListParagraph"/>
        <w:numPr>
          <w:ilvl w:val="0"/>
          <w:numId w:val="52"/>
        </w:numPr>
        <w:jc w:val="both"/>
        <w:rPr>
          <w:color w:val="000000"/>
        </w:rPr>
      </w:pPr>
      <w:r>
        <w:rPr>
          <w:color w:val="000000"/>
        </w:rPr>
        <w:t xml:space="preserve">Per-HARQ process configuration </w:t>
      </w:r>
    </w:p>
    <w:p w14:paraId="7A914D09" w14:textId="7D70B3BD" w:rsidR="008E02C6" w:rsidRDefault="008E02C6" w:rsidP="000F70F9">
      <w:pPr>
        <w:pStyle w:val="ListParagraph"/>
        <w:numPr>
          <w:ilvl w:val="0"/>
          <w:numId w:val="52"/>
        </w:numPr>
        <w:jc w:val="both"/>
        <w:rPr>
          <w:color w:val="000000"/>
        </w:rPr>
      </w:pPr>
      <w:r>
        <w:rPr>
          <w:color w:val="000000"/>
        </w:rPr>
        <w:t xml:space="preserve">DCI direct indication </w:t>
      </w:r>
    </w:p>
    <w:p w14:paraId="7416A731" w14:textId="178C745E" w:rsidR="008E02C6" w:rsidRDefault="008E02C6" w:rsidP="000F70F9">
      <w:pPr>
        <w:pStyle w:val="ListParagraph"/>
        <w:numPr>
          <w:ilvl w:val="0"/>
          <w:numId w:val="52"/>
        </w:numPr>
        <w:jc w:val="both"/>
        <w:rPr>
          <w:color w:val="000000"/>
        </w:rPr>
      </w:pPr>
      <w:r>
        <w:rPr>
          <w:color w:val="000000"/>
        </w:rPr>
        <w:t>DCI overridden per-HARQ process configuration</w:t>
      </w:r>
    </w:p>
    <w:p w14:paraId="3CB39747" w14:textId="77777777" w:rsidR="000F70F9" w:rsidRDefault="000F70F9" w:rsidP="000F70F9">
      <w:pPr>
        <w:pStyle w:val="ListParagraph"/>
        <w:numPr>
          <w:ilvl w:val="0"/>
          <w:numId w:val="0"/>
        </w:numPr>
        <w:ind w:left="720"/>
        <w:jc w:val="both"/>
        <w:rPr>
          <w:color w:val="000000"/>
        </w:rPr>
      </w:pPr>
    </w:p>
    <w:p w14:paraId="3C033631" w14:textId="1E8E0167" w:rsidR="008E02C6" w:rsidRPr="008E02C6" w:rsidRDefault="008E02C6" w:rsidP="000F70F9">
      <w:pPr>
        <w:jc w:val="both"/>
        <w:rPr>
          <w:color w:val="000000"/>
        </w:rPr>
      </w:pPr>
      <w:r>
        <w:rPr>
          <w:color w:val="000000"/>
        </w:rPr>
        <w:t xml:space="preserve">All these schemes are applied for dynamic grant PDSCH. Hence, we propose to define a new UE feature group of disabling HARQ feedback for downlink transmissions for NB-IoT. The component of this FG is for dynamic grant PDSCH, sending HARQ feedback only for HARQ processes, which are either configured with enabled HARQ feedback or dynamically indicated for HARQ feedback. </w:t>
      </w:r>
    </w:p>
    <w:p w14:paraId="25714981" w14:textId="77777777" w:rsidR="000F70F9" w:rsidRDefault="000F70F9" w:rsidP="000F70F9">
      <w:pPr>
        <w:jc w:val="both"/>
        <w:rPr>
          <w:b/>
          <w:bCs/>
          <w:i/>
          <w:iCs/>
          <w:u w:val="single"/>
        </w:rPr>
      </w:pPr>
    </w:p>
    <w:p w14:paraId="0E57ED23" w14:textId="34DD361A" w:rsidR="006525BD" w:rsidRDefault="006525BD" w:rsidP="000F70F9">
      <w:pPr>
        <w:jc w:val="both"/>
        <w:rPr>
          <w:i/>
          <w:iCs/>
        </w:rPr>
      </w:pPr>
      <w:r w:rsidRPr="003F245C">
        <w:rPr>
          <w:b/>
          <w:bCs/>
          <w:i/>
          <w:iCs/>
          <w:u w:val="single"/>
        </w:rPr>
        <w:t xml:space="preserve">Proposal </w:t>
      </w:r>
      <w:r w:rsidR="008E02C6">
        <w:rPr>
          <w:b/>
          <w:bCs/>
          <w:i/>
          <w:iCs/>
          <w:u w:val="single"/>
        </w:rPr>
        <w:t>1</w:t>
      </w:r>
      <w:r w:rsidRPr="003F245C">
        <w:rPr>
          <w:b/>
          <w:bCs/>
          <w:i/>
          <w:iCs/>
          <w:u w:val="single"/>
        </w:rPr>
        <w:t>:</w:t>
      </w:r>
      <w:r>
        <w:t xml:space="preserve"> </w:t>
      </w:r>
      <w:r w:rsidRPr="0020245A">
        <w:rPr>
          <w:i/>
          <w:iCs/>
        </w:rPr>
        <w:t>D</w:t>
      </w:r>
      <w:r>
        <w:rPr>
          <w:i/>
          <w:iCs/>
        </w:rPr>
        <w:t xml:space="preserve">efine a UE FG of disabling HARQ feedback </w:t>
      </w:r>
      <w:r w:rsidR="008E02C6">
        <w:rPr>
          <w:i/>
          <w:iCs/>
        </w:rPr>
        <w:t xml:space="preserve">for downlink transmissions </w:t>
      </w:r>
      <w:r>
        <w:rPr>
          <w:i/>
          <w:iCs/>
        </w:rPr>
        <w:t xml:space="preserve">for NB-IoT, including the following component </w:t>
      </w:r>
    </w:p>
    <w:p w14:paraId="76134D36" w14:textId="4ABB6532" w:rsidR="008E02C6" w:rsidRPr="008E02C6" w:rsidRDefault="006525BD" w:rsidP="000F70F9">
      <w:pPr>
        <w:pStyle w:val="ListParagraph"/>
        <w:numPr>
          <w:ilvl w:val="0"/>
          <w:numId w:val="51"/>
        </w:numPr>
        <w:jc w:val="both"/>
        <w:rPr>
          <w:i/>
          <w:iCs/>
        </w:rPr>
      </w:pPr>
      <w:r>
        <w:rPr>
          <w:i/>
          <w:iCs/>
        </w:rPr>
        <w:t xml:space="preserve">For dynamic grant PDSCH, sending HARQ feedback only for HARQ processes, which are either configured with enabled HARQ feedback or dynamically indicated </w:t>
      </w:r>
      <w:r w:rsidR="008E02C6">
        <w:rPr>
          <w:i/>
          <w:iCs/>
        </w:rPr>
        <w:t>for</w:t>
      </w:r>
      <w:r>
        <w:rPr>
          <w:i/>
          <w:iCs/>
        </w:rPr>
        <w:t xml:space="preserve"> HARQ feedback. </w:t>
      </w:r>
    </w:p>
    <w:p w14:paraId="79130F27" w14:textId="77777777" w:rsidR="000F70F9" w:rsidRDefault="000F70F9" w:rsidP="000F70F9">
      <w:pPr>
        <w:jc w:val="both"/>
        <w:rPr>
          <w:color w:val="000000"/>
          <w:lang w:val="en-GB"/>
        </w:rPr>
      </w:pPr>
    </w:p>
    <w:p w14:paraId="13BA4A28" w14:textId="05145BD1" w:rsidR="008E02C6" w:rsidRDefault="008E02C6" w:rsidP="000F70F9">
      <w:pPr>
        <w:jc w:val="both"/>
        <w:rPr>
          <w:color w:val="000000"/>
        </w:rPr>
      </w:pPr>
      <w:r>
        <w:rPr>
          <w:color w:val="000000"/>
          <w:lang w:val="en-GB"/>
        </w:rPr>
        <w:t xml:space="preserve">Similar to NB-IoT over NTN, for eMTC over NTN with CE mode B, the HARQ feedback disabling for downlink transmissions is supported in three different ways. All these schemes are applied for dynamic grant PDSCH. Hence, we propose to define a new UE feature group of disabling HARQ feedback for downlink transmissions for eMTC. The </w:t>
      </w:r>
      <w:r>
        <w:rPr>
          <w:color w:val="000000"/>
        </w:rPr>
        <w:t xml:space="preserve">component of this FG is for dynamic grant PDSCH, sending HARQ feedback only for HARQ processes, which are either configured with enabled HARQ feedback or dynamically indicated for HARQ feedback. </w:t>
      </w:r>
    </w:p>
    <w:p w14:paraId="261782D5" w14:textId="77777777" w:rsidR="000F70F9" w:rsidRDefault="000F70F9" w:rsidP="000F70F9">
      <w:pPr>
        <w:jc w:val="both"/>
        <w:rPr>
          <w:b/>
          <w:bCs/>
          <w:i/>
          <w:iCs/>
          <w:u w:val="single"/>
        </w:rPr>
      </w:pPr>
    </w:p>
    <w:p w14:paraId="64CD09E6" w14:textId="23E51306" w:rsidR="008E02C6" w:rsidRDefault="008E02C6" w:rsidP="000F70F9">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Pr="0020245A">
        <w:rPr>
          <w:i/>
          <w:iCs/>
        </w:rPr>
        <w:t>D</w:t>
      </w:r>
      <w:r>
        <w:rPr>
          <w:i/>
          <w:iCs/>
        </w:rPr>
        <w:t xml:space="preserve">efine a UE FG of disabling HARQ feedback for downlink transmissions for eMTC, including the following component </w:t>
      </w:r>
    </w:p>
    <w:p w14:paraId="6215AF0C" w14:textId="0C8D29A9" w:rsidR="008E02C6" w:rsidRPr="008E02C6" w:rsidRDefault="008E02C6" w:rsidP="000F70F9">
      <w:pPr>
        <w:pStyle w:val="ListParagraph"/>
        <w:numPr>
          <w:ilvl w:val="0"/>
          <w:numId w:val="51"/>
        </w:numPr>
        <w:jc w:val="both"/>
        <w:rPr>
          <w:i/>
          <w:iCs/>
        </w:rPr>
      </w:pPr>
      <w:r>
        <w:rPr>
          <w:i/>
          <w:iCs/>
        </w:rPr>
        <w:lastRenderedPageBreak/>
        <w:t xml:space="preserve">For dynamic grant PDSCH, sending HARQ feedback only for HARQ processes, which are either configured with enabled HARQ feedback or dynamically indicated with enabled HARQ feedback. </w:t>
      </w:r>
    </w:p>
    <w:p w14:paraId="06B7F234" w14:textId="77777777" w:rsidR="000F70F9" w:rsidRDefault="000F70F9" w:rsidP="000F70F9">
      <w:pPr>
        <w:jc w:val="both"/>
        <w:rPr>
          <w:color w:val="000000"/>
          <w:lang w:val="en-GB"/>
        </w:rPr>
      </w:pPr>
    </w:p>
    <w:p w14:paraId="058655AD" w14:textId="79AB89DC" w:rsidR="008E02C6" w:rsidRPr="00BC6BF8" w:rsidRDefault="008E02C6" w:rsidP="000F70F9">
      <w:pPr>
        <w:jc w:val="both"/>
        <w:rPr>
          <w:color w:val="000000"/>
          <w:lang w:val="en-GB"/>
        </w:rPr>
      </w:pPr>
      <w:r>
        <w:rPr>
          <w:color w:val="000000"/>
          <w:lang w:val="en-GB"/>
        </w:rPr>
        <w:t xml:space="preserve">For eMTC over NTN with CE mode A, the HARQ feedback disabling for downlink transmissions is only via RRC configuration of per-HARQ process HARQ feedback enabling/disabling. This per-HARQ process configuration applies to both dynamic grant and SPS PDSCH. Furthermore, for the first SPS PDSCH after activation, it is additionally supported to configure a parameter to enable the HARQ feedback. Hence, we propose to define a new UE feature group of disabling HARQ feedback for downlink transmissions for eMTC. </w:t>
      </w:r>
    </w:p>
    <w:p w14:paraId="26A165A0" w14:textId="77777777" w:rsidR="000F70F9" w:rsidRDefault="000F70F9" w:rsidP="000F70F9">
      <w:pPr>
        <w:jc w:val="both"/>
        <w:rPr>
          <w:b/>
          <w:bCs/>
          <w:i/>
          <w:iCs/>
          <w:u w:val="single"/>
        </w:rPr>
      </w:pPr>
    </w:p>
    <w:p w14:paraId="6EA781B3" w14:textId="7E8DF29D" w:rsidR="0020245A" w:rsidRDefault="00BC6BF8" w:rsidP="000F70F9">
      <w:pPr>
        <w:jc w:val="both"/>
        <w:rPr>
          <w:i/>
          <w:iCs/>
        </w:rPr>
      </w:pPr>
      <w:r w:rsidRPr="003F245C">
        <w:rPr>
          <w:b/>
          <w:bCs/>
          <w:i/>
          <w:iCs/>
          <w:u w:val="single"/>
        </w:rPr>
        <w:t xml:space="preserve">Proposal </w:t>
      </w:r>
      <w:r w:rsidR="008E02C6">
        <w:rPr>
          <w:b/>
          <w:bCs/>
          <w:i/>
          <w:iCs/>
          <w:u w:val="single"/>
        </w:rPr>
        <w:t>3</w:t>
      </w:r>
      <w:r w:rsidRPr="003F245C">
        <w:rPr>
          <w:b/>
          <w:bCs/>
          <w:i/>
          <w:iCs/>
          <w:u w:val="single"/>
        </w:rPr>
        <w:t>:</w:t>
      </w:r>
      <w:r>
        <w:t xml:space="preserve"> </w:t>
      </w:r>
      <w:r w:rsidR="0020245A" w:rsidRPr="0020245A">
        <w:rPr>
          <w:i/>
          <w:iCs/>
        </w:rPr>
        <w:t>D</w:t>
      </w:r>
      <w:r w:rsidR="0020245A">
        <w:rPr>
          <w:i/>
          <w:iCs/>
        </w:rPr>
        <w:t xml:space="preserve">efine a </w:t>
      </w:r>
      <w:r>
        <w:rPr>
          <w:i/>
          <w:iCs/>
        </w:rPr>
        <w:t xml:space="preserve">UE FG </w:t>
      </w:r>
      <w:r w:rsidR="0020245A">
        <w:rPr>
          <w:i/>
          <w:iCs/>
        </w:rPr>
        <w:t xml:space="preserve">of disabling HARQ feedback </w:t>
      </w:r>
      <w:r w:rsidR="008E02C6">
        <w:rPr>
          <w:i/>
          <w:iCs/>
        </w:rPr>
        <w:t xml:space="preserve">for downlink transmissions </w:t>
      </w:r>
      <w:r w:rsidR="0020245A">
        <w:rPr>
          <w:i/>
          <w:iCs/>
        </w:rPr>
        <w:t xml:space="preserve">for eMTC, </w:t>
      </w:r>
      <w:r w:rsidR="006525BD">
        <w:rPr>
          <w:i/>
          <w:iCs/>
        </w:rPr>
        <w:t>including</w:t>
      </w:r>
      <w:r w:rsidR="0020245A">
        <w:rPr>
          <w:i/>
          <w:iCs/>
        </w:rPr>
        <w:t xml:space="preserve"> the</w:t>
      </w:r>
      <w:r w:rsidR="006525BD">
        <w:rPr>
          <w:i/>
          <w:iCs/>
        </w:rPr>
        <w:t xml:space="preserve"> following</w:t>
      </w:r>
      <w:r w:rsidR="0020245A">
        <w:rPr>
          <w:i/>
          <w:iCs/>
        </w:rPr>
        <w:t xml:space="preserve"> components</w:t>
      </w:r>
    </w:p>
    <w:p w14:paraId="2982510A" w14:textId="2C691799" w:rsidR="0020245A" w:rsidRDefault="003F3314" w:rsidP="000F70F9">
      <w:pPr>
        <w:pStyle w:val="ListParagraph"/>
        <w:numPr>
          <w:ilvl w:val="0"/>
          <w:numId w:val="51"/>
        </w:numPr>
        <w:jc w:val="both"/>
        <w:rPr>
          <w:i/>
          <w:iCs/>
        </w:rPr>
      </w:pPr>
      <w:r>
        <w:rPr>
          <w:i/>
          <w:iCs/>
        </w:rPr>
        <w:t>For dynamic grant PDSCH, sending HARQ feedback only for HARQ processes configured with enabled HARQ feedback</w:t>
      </w:r>
      <w:r w:rsidR="006525BD">
        <w:rPr>
          <w:i/>
          <w:iCs/>
        </w:rPr>
        <w:t>.</w:t>
      </w:r>
    </w:p>
    <w:p w14:paraId="3620450B" w14:textId="6EF09670" w:rsidR="003F3314" w:rsidRPr="003F3314" w:rsidRDefault="003F3314" w:rsidP="000F70F9">
      <w:pPr>
        <w:pStyle w:val="ListParagraph"/>
        <w:numPr>
          <w:ilvl w:val="0"/>
          <w:numId w:val="51"/>
        </w:numPr>
        <w:jc w:val="both"/>
        <w:rPr>
          <w:i/>
          <w:iCs/>
        </w:rPr>
      </w:pPr>
      <w:r>
        <w:rPr>
          <w:i/>
          <w:iCs/>
        </w:rPr>
        <w:t xml:space="preserve">For the first SPS PDSCH after activation, sending HARQ feedback only if HARQ feedback for SPS activation is additionally enabled or </w:t>
      </w:r>
      <w:r w:rsidR="006525BD">
        <w:rPr>
          <w:i/>
          <w:iCs/>
        </w:rPr>
        <w:t xml:space="preserve">for </w:t>
      </w:r>
      <w:r>
        <w:rPr>
          <w:i/>
          <w:iCs/>
        </w:rPr>
        <w:t>HARQ processes configured with enabled HARQ feedback</w:t>
      </w:r>
      <w:r w:rsidR="006525BD">
        <w:rPr>
          <w:i/>
          <w:iCs/>
        </w:rPr>
        <w:t>.</w:t>
      </w:r>
    </w:p>
    <w:p w14:paraId="1880E2BA" w14:textId="7A13EA55" w:rsidR="008E02C6" w:rsidRPr="008E02C6" w:rsidRDefault="003F3314" w:rsidP="000F70F9">
      <w:pPr>
        <w:pStyle w:val="ListParagraph"/>
        <w:numPr>
          <w:ilvl w:val="0"/>
          <w:numId w:val="51"/>
        </w:numPr>
        <w:jc w:val="both"/>
        <w:rPr>
          <w:i/>
          <w:iCs/>
        </w:rPr>
      </w:pPr>
      <w:r>
        <w:rPr>
          <w:i/>
          <w:iCs/>
        </w:rPr>
        <w:t>For SPS PDSCH except the first SPS PDSCH</w:t>
      </w:r>
      <w:r w:rsidR="006525BD">
        <w:rPr>
          <w:i/>
          <w:iCs/>
        </w:rPr>
        <w:t xml:space="preserve"> after activation</w:t>
      </w:r>
      <w:r>
        <w:rPr>
          <w:i/>
          <w:iCs/>
        </w:rPr>
        <w:t xml:space="preserve">, sending HARQ feedback only for HARQ </w:t>
      </w:r>
      <w:r w:rsidR="006525BD">
        <w:rPr>
          <w:i/>
          <w:iCs/>
        </w:rPr>
        <w:t xml:space="preserve">processes configured with </w:t>
      </w:r>
      <w:r>
        <w:rPr>
          <w:i/>
          <w:iCs/>
        </w:rPr>
        <w:t xml:space="preserve">enabled </w:t>
      </w:r>
      <w:r w:rsidR="006525BD">
        <w:rPr>
          <w:i/>
          <w:iCs/>
        </w:rPr>
        <w:t>HARQ feedback.</w:t>
      </w:r>
      <w:r>
        <w:rPr>
          <w:i/>
          <w:iCs/>
        </w:rPr>
        <w:t xml:space="preserve"> </w:t>
      </w:r>
    </w:p>
    <w:p w14:paraId="7EE79E26" w14:textId="77777777" w:rsidR="000F70F9" w:rsidRDefault="000F70F9" w:rsidP="000F70F9">
      <w:pPr>
        <w:jc w:val="both"/>
        <w:rPr>
          <w:color w:val="000000"/>
        </w:rPr>
      </w:pPr>
    </w:p>
    <w:p w14:paraId="3427D142" w14:textId="4897B42B" w:rsidR="006525BD" w:rsidRPr="008E02C6" w:rsidRDefault="00942061" w:rsidP="000F70F9">
      <w:pPr>
        <w:jc w:val="both"/>
        <w:rPr>
          <w:color w:val="000000"/>
        </w:rPr>
      </w:pPr>
      <w:r>
        <w:rPr>
          <w:color w:val="000000"/>
        </w:rPr>
        <w:t xml:space="preserve">Based on the agreements made until </w:t>
      </w:r>
      <w:r w:rsidR="00481155">
        <w:rPr>
          <w:color w:val="000000"/>
        </w:rPr>
        <w:t xml:space="preserve">the RAN1#112bis meeting, the improved GNSS operation includes the GNSS measurement during the RRC_CONNECTED state, specifically the aperiodic triggered GNSS measurement is supported. </w:t>
      </w:r>
      <w:r w:rsidR="00FB02DD">
        <w:rPr>
          <w:color w:val="000000"/>
        </w:rPr>
        <w:t xml:space="preserve">As no simultaneous GNSS and cellular operation is assumed, the GNSS measurement gap, the starting time of GNSS measurement, and UE reported GNSS position fix time duration need to be specified for GNSS measurement. </w:t>
      </w:r>
      <w:r w:rsidR="004F2DC8">
        <w:rPr>
          <w:color w:val="000000"/>
        </w:rPr>
        <w:t>Thus, the basic FG for enhancement GNSS operation is the aperiodic triggered GNSS measurement.</w:t>
      </w:r>
    </w:p>
    <w:p w14:paraId="65BFCA1A" w14:textId="77777777" w:rsidR="000F70F9" w:rsidRDefault="000F70F9" w:rsidP="000F70F9">
      <w:pPr>
        <w:jc w:val="both"/>
        <w:rPr>
          <w:b/>
          <w:bCs/>
          <w:i/>
          <w:iCs/>
          <w:color w:val="000000"/>
          <w:u w:val="single"/>
        </w:rPr>
      </w:pPr>
    </w:p>
    <w:p w14:paraId="60C6D156" w14:textId="1DCD3D92" w:rsidR="006525BD" w:rsidRDefault="00D35D6F" w:rsidP="000F70F9">
      <w:pPr>
        <w:jc w:val="both"/>
        <w:rPr>
          <w:i/>
          <w:iCs/>
          <w:color w:val="000000"/>
        </w:rPr>
      </w:pPr>
      <w:r w:rsidRPr="006525BD">
        <w:rPr>
          <w:b/>
          <w:bCs/>
          <w:i/>
          <w:iCs/>
          <w:color w:val="000000"/>
          <w:u w:val="single"/>
        </w:rPr>
        <w:t xml:space="preserve">Proposal </w:t>
      </w:r>
      <w:r w:rsidR="006525BD">
        <w:rPr>
          <w:b/>
          <w:bCs/>
          <w:i/>
          <w:iCs/>
          <w:color w:val="000000"/>
          <w:u w:val="single"/>
        </w:rPr>
        <w:t>4</w:t>
      </w:r>
      <w:r w:rsidRPr="006525BD">
        <w:rPr>
          <w:b/>
          <w:bCs/>
          <w:i/>
          <w:iCs/>
          <w:color w:val="000000"/>
          <w:u w:val="single"/>
        </w:rPr>
        <w:t>:</w:t>
      </w:r>
      <w:r w:rsidRPr="006525BD">
        <w:rPr>
          <w:i/>
          <w:iCs/>
          <w:color w:val="000000"/>
        </w:rPr>
        <w:t xml:space="preserve"> Define </w:t>
      </w:r>
      <w:r w:rsidR="008E02C6">
        <w:rPr>
          <w:i/>
          <w:iCs/>
          <w:color w:val="000000"/>
        </w:rPr>
        <w:t xml:space="preserve">a </w:t>
      </w:r>
      <w:r w:rsidRPr="006525BD">
        <w:rPr>
          <w:i/>
          <w:iCs/>
          <w:color w:val="000000"/>
        </w:rPr>
        <w:t xml:space="preserve">UE FG for aperiodic triggered GNSS measurement, including the </w:t>
      </w:r>
      <w:r w:rsidR="00942061" w:rsidRPr="006525BD">
        <w:rPr>
          <w:i/>
          <w:iCs/>
          <w:color w:val="000000"/>
        </w:rPr>
        <w:t xml:space="preserve">following </w:t>
      </w:r>
      <w:r w:rsidRPr="006525BD">
        <w:rPr>
          <w:i/>
          <w:iCs/>
          <w:color w:val="000000"/>
        </w:rPr>
        <w:t xml:space="preserve">components </w:t>
      </w:r>
    </w:p>
    <w:p w14:paraId="3514E9E7" w14:textId="77777777" w:rsidR="006525BD" w:rsidRPr="006525BD" w:rsidRDefault="00D35D6F" w:rsidP="000F70F9">
      <w:pPr>
        <w:pStyle w:val="ListParagraph"/>
        <w:numPr>
          <w:ilvl w:val="0"/>
          <w:numId w:val="51"/>
        </w:numPr>
        <w:jc w:val="both"/>
        <w:rPr>
          <w:i/>
          <w:iCs/>
          <w:color w:val="000000"/>
        </w:rPr>
      </w:pPr>
      <w:r w:rsidRPr="006525BD">
        <w:rPr>
          <w:i/>
          <w:iCs/>
          <w:color w:val="000000"/>
        </w:rPr>
        <w:t xml:space="preserve">GNSS position fix time duration reporting, </w:t>
      </w:r>
    </w:p>
    <w:p w14:paraId="3F7F720D" w14:textId="77777777" w:rsidR="006525BD" w:rsidRPr="006525BD" w:rsidRDefault="00D35D6F" w:rsidP="000F70F9">
      <w:pPr>
        <w:pStyle w:val="ListParagraph"/>
        <w:numPr>
          <w:ilvl w:val="0"/>
          <w:numId w:val="51"/>
        </w:numPr>
        <w:jc w:val="both"/>
        <w:rPr>
          <w:i/>
          <w:iCs/>
          <w:color w:val="000000"/>
        </w:rPr>
      </w:pPr>
      <w:r w:rsidRPr="006525BD">
        <w:rPr>
          <w:i/>
          <w:iCs/>
          <w:color w:val="000000"/>
        </w:rPr>
        <w:t xml:space="preserve">GNSS measurement gap configuration, </w:t>
      </w:r>
    </w:p>
    <w:p w14:paraId="3FF1C876" w14:textId="77777777" w:rsidR="006525BD" w:rsidRPr="006525BD" w:rsidRDefault="00D35D6F" w:rsidP="000F70F9">
      <w:pPr>
        <w:pStyle w:val="ListParagraph"/>
        <w:numPr>
          <w:ilvl w:val="0"/>
          <w:numId w:val="51"/>
        </w:numPr>
        <w:jc w:val="both"/>
        <w:rPr>
          <w:i/>
          <w:iCs/>
          <w:color w:val="000000"/>
        </w:rPr>
      </w:pPr>
      <w:r w:rsidRPr="006525BD">
        <w:rPr>
          <w:i/>
          <w:iCs/>
          <w:color w:val="000000"/>
        </w:rPr>
        <w:t>the starting time of GNSS measurement</w:t>
      </w:r>
      <w:r w:rsidR="006A7B1F" w:rsidRPr="006525BD">
        <w:rPr>
          <w:i/>
          <w:iCs/>
          <w:color w:val="000000"/>
        </w:rPr>
        <w:t>,</w:t>
      </w:r>
    </w:p>
    <w:p w14:paraId="716AD364" w14:textId="16F5FAE9" w:rsidR="006525BD" w:rsidRPr="008E02C6" w:rsidRDefault="006A7B1F" w:rsidP="000F70F9">
      <w:pPr>
        <w:pStyle w:val="ListParagraph"/>
        <w:numPr>
          <w:ilvl w:val="0"/>
          <w:numId w:val="51"/>
        </w:numPr>
        <w:jc w:val="both"/>
        <w:rPr>
          <w:i/>
          <w:iCs/>
          <w:color w:val="000000"/>
        </w:rPr>
      </w:pPr>
      <w:r w:rsidRPr="006525BD">
        <w:rPr>
          <w:i/>
          <w:iCs/>
          <w:color w:val="000000"/>
        </w:rPr>
        <w:t>successful GNSS measurement indication</w:t>
      </w:r>
      <w:r w:rsidR="00D35D6F" w:rsidRPr="006525BD">
        <w:rPr>
          <w:i/>
          <w:iCs/>
          <w:color w:val="000000"/>
        </w:rPr>
        <w:t>.</w:t>
      </w:r>
    </w:p>
    <w:p w14:paraId="6B4DEE3D" w14:textId="77777777" w:rsidR="000F70F9" w:rsidRDefault="000F70F9" w:rsidP="000F70F9">
      <w:pPr>
        <w:jc w:val="both"/>
        <w:rPr>
          <w:color w:val="000000"/>
        </w:rPr>
      </w:pPr>
    </w:p>
    <w:p w14:paraId="7D44828A" w14:textId="3FA1E056" w:rsidR="00B2631D" w:rsidRDefault="001E6B6F" w:rsidP="000F70F9">
      <w:pPr>
        <w:jc w:val="both"/>
        <w:rPr>
          <w:color w:val="000000"/>
        </w:rPr>
      </w:pPr>
      <w:r w:rsidRPr="001E6B6F">
        <w:rPr>
          <w:color w:val="000000"/>
        </w:rPr>
        <w:t xml:space="preserve">In RAN1#112 meeting, it was agreed to </w:t>
      </w:r>
      <w:r w:rsidR="00B624F3">
        <w:rPr>
          <w:color w:val="000000"/>
        </w:rPr>
        <w:t xml:space="preserve">study </w:t>
      </w:r>
      <w:r w:rsidRPr="001E6B6F">
        <w:rPr>
          <w:color w:val="000000"/>
        </w:rPr>
        <w:t>the case that allowing the UL transmission after the GNSS validity duration expires</w:t>
      </w:r>
      <w:r w:rsidR="00183868">
        <w:rPr>
          <w:color w:val="000000"/>
        </w:rPr>
        <w:t xml:space="preserve">. In the last RAN1 meeting, the majority of companies believed GNSS validity duration extension is beneficial to save the UE power, as it could reduce the number of </w:t>
      </w:r>
      <w:r w:rsidR="00183868" w:rsidRPr="001E6B6F">
        <w:rPr>
          <w:color w:val="000000"/>
        </w:rPr>
        <w:t xml:space="preserve">GNSS </w:t>
      </w:r>
      <w:r w:rsidR="00183868">
        <w:rPr>
          <w:color w:val="000000"/>
        </w:rPr>
        <w:t xml:space="preserve">measurements. </w:t>
      </w:r>
      <w:r w:rsidR="00526679">
        <w:rPr>
          <w:color w:val="000000"/>
        </w:rPr>
        <w:t>In fact, t</w:t>
      </w:r>
      <w:r w:rsidR="00526679" w:rsidRPr="00183868">
        <w:rPr>
          <w:color w:val="000000"/>
        </w:rPr>
        <w:t>he achievable gain</w:t>
      </w:r>
      <w:r w:rsidR="00526679">
        <w:rPr>
          <w:color w:val="000000"/>
        </w:rPr>
        <w:t xml:space="preserve"> of GNSS validity duration extension is restricted by time and frequency error within the requirements and without longer repetition in UL transmission. So, if GNSS validity duration extension is supported, it should be an independent feature</w:t>
      </w:r>
      <w:r w:rsidR="00A879E9">
        <w:rPr>
          <w:color w:val="000000"/>
        </w:rPr>
        <w:t xml:space="preserve"> and the pre-requisite is aperiodic triggered GNSS measurement</w:t>
      </w:r>
      <w:r w:rsidR="00526679">
        <w:rPr>
          <w:color w:val="000000"/>
        </w:rPr>
        <w:t xml:space="preserve">. </w:t>
      </w:r>
    </w:p>
    <w:p w14:paraId="52939FCB" w14:textId="77777777" w:rsidR="000F70F9" w:rsidRPr="00183868" w:rsidRDefault="000F70F9" w:rsidP="000F70F9">
      <w:pPr>
        <w:jc w:val="both"/>
        <w:rPr>
          <w:color w:val="000000"/>
        </w:rPr>
      </w:pPr>
    </w:p>
    <w:tbl>
      <w:tblPr>
        <w:tblStyle w:val="TableGrid"/>
        <w:tblW w:w="0" w:type="auto"/>
        <w:tblLook w:val="04A0" w:firstRow="1" w:lastRow="0" w:firstColumn="1" w:lastColumn="0" w:noHBand="0" w:noVBand="1"/>
      </w:tblPr>
      <w:tblGrid>
        <w:gridCol w:w="9629"/>
      </w:tblGrid>
      <w:tr w:rsidR="00B2631D" w:rsidRPr="00183868" w14:paraId="50A07CBF" w14:textId="77777777" w:rsidTr="00B2631D">
        <w:tc>
          <w:tcPr>
            <w:tcW w:w="9629" w:type="dxa"/>
          </w:tcPr>
          <w:p w14:paraId="127D617B" w14:textId="7A1AD167" w:rsidR="001E6B6F" w:rsidRPr="00183868" w:rsidRDefault="001E6B6F" w:rsidP="000F70F9">
            <w:pPr>
              <w:spacing w:before="0" w:line="240" w:lineRule="auto"/>
              <w:rPr>
                <w:b/>
                <w:lang w:eastAsia="x-none"/>
              </w:rPr>
            </w:pPr>
            <w:r w:rsidRPr="00183868">
              <w:rPr>
                <w:b/>
                <w:highlight w:val="green"/>
                <w:lang w:eastAsia="x-none"/>
              </w:rPr>
              <w:t>Agreement</w:t>
            </w:r>
            <w:r w:rsidRPr="00183868">
              <w:rPr>
                <w:b/>
                <w:lang w:eastAsia="x-none"/>
              </w:rPr>
              <w:t xml:space="preserve"> </w:t>
            </w:r>
            <w:r w:rsidR="00183868" w:rsidRPr="00183868">
              <w:rPr>
                <w:bCs/>
                <w:lang w:eastAsia="x-none"/>
              </w:rPr>
              <w:t>[3]</w:t>
            </w:r>
          </w:p>
          <w:p w14:paraId="6F1163A7" w14:textId="77777777" w:rsidR="001E6B6F" w:rsidRPr="00183868" w:rsidRDefault="001E6B6F" w:rsidP="000F70F9">
            <w:pPr>
              <w:spacing w:before="0" w:line="240" w:lineRule="auto"/>
              <w:rPr>
                <w:lang w:eastAsia="x-none"/>
              </w:rPr>
            </w:pPr>
            <w:r w:rsidRPr="00183868">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0928F1CF" w14:textId="77777777" w:rsidR="001E6B6F" w:rsidRPr="00183868" w:rsidRDefault="001E6B6F" w:rsidP="000F70F9">
            <w:pPr>
              <w:pStyle w:val="ListParagraph"/>
              <w:spacing w:before="0" w:line="240" w:lineRule="auto"/>
            </w:pPr>
            <w:r w:rsidRPr="00183868">
              <w:t>FFS: with legacy closed loop time correction or enhanced closed loop time correction</w:t>
            </w:r>
          </w:p>
          <w:p w14:paraId="02D15AA9" w14:textId="77777777" w:rsidR="001E6B6F" w:rsidRPr="00183868" w:rsidRDefault="001E6B6F" w:rsidP="000F70F9">
            <w:pPr>
              <w:pStyle w:val="ListParagraph"/>
              <w:spacing w:before="0" w:line="240" w:lineRule="auto"/>
            </w:pPr>
            <w:r w:rsidRPr="00183868">
              <w:rPr>
                <w:rFonts w:hint="eastAsia"/>
              </w:rPr>
              <w:t>T</w:t>
            </w:r>
            <w:r w:rsidRPr="00183868">
              <w:t xml:space="preserve">his mechanism is enabled/configured by </w:t>
            </w:r>
            <w:proofErr w:type="spellStart"/>
            <w:r w:rsidRPr="00183868">
              <w:t>eNB</w:t>
            </w:r>
            <w:proofErr w:type="spellEnd"/>
          </w:p>
          <w:p w14:paraId="4E4BE517" w14:textId="4034495E" w:rsidR="00B2631D" w:rsidRPr="00183868" w:rsidRDefault="001E6B6F" w:rsidP="000F70F9">
            <w:pPr>
              <w:pStyle w:val="ListParagraph"/>
              <w:spacing w:before="0" w:line="240" w:lineRule="auto"/>
            </w:pPr>
            <w:r w:rsidRPr="00183868">
              <w:rPr>
                <w:rFonts w:hint="eastAsia"/>
              </w:rPr>
              <w:t>F</w:t>
            </w:r>
            <w:r w:rsidRPr="00183868">
              <w:t>FS: whether such mechanism will be specified depends on the outcome of this study</w:t>
            </w:r>
          </w:p>
        </w:tc>
      </w:tr>
    </w:tbl>
    <w:p w14:paraId="4E4A1AF3" w14:textId="77777777" w:rsidR="006525BD" w:rsidRDefault="006525BD" w:rsidP="000F70F9">
      <w:pPr>
        <w:jc w:val="both"/>
        <w:rPr>
          <w:b/>
          <w:bCs/>
          <w:i/>
          <w:iCs/>
          <w:color w:val="000000"/>
          <w:u w:val="single"/>
        </w:rPr>
      </w:pPr>
    </w:p>
    <w:p w14:paraId="3D5FA742" w14:textId="49611E4B" w:rsidR="00526679" w:rsidRPr="006525BD" w:rsidRDefault="00555889" w:rsidP="000F70F9">
      <w:pPr>
        <w:jc w:val="both"/>
        <w:rPr>
          <w:i/>
          <w:iCs/>
          <w:color w:val="000000"/>
        </w:rPr>
      </w:pPr>
      <w:r w:rsidRPr="006525BD">
        <w:rPr>
          <w:b/>
          <w:bCs/>
          <w:i/>
          <w:iCs/>
          <w:color w:val="000000"/>
          <w:u w:val="single"/>
        </w:rPr>
        <w:lastRenderedPageBreak/>
        <w:t xml:space="preserve">Proposal </w:t>
      </w:r>
      <w:r w:rsidR="006525BD">
        <w:rPr>
          <w:b/>
          <w:bCs/>
          <w:i/>
          <w:iCs/>
          <w:color w:val="000000"/>
          <w:u w:val="single"/>
        </w:rPr>
        <w:t>5</w:t>
      </w:r>
      <w:r w:rsidRPr="006525BD">
        <w:rPr>
          <w:b/>
          <w:bCs/>
          <w:i/>
          <w:iCs/>
          <w:color w:val="000000"/>
          <w:u w:val="single"/>
        </w:rPr>
        <w:t>:</w:t>
      </w:r>
      <w:r w:rsidR="00ED3776" w:rsidRPr="006525BD">
        <w:rPr>
          <w:i/>
          <w:iCs/>
          <w:color w:val="000000"/>
        </w:rPr>
        <w:t xml:space="preserve"> </w:t>
      </w:r>
      <w:r w:rsidR="00526679" w:rsidRPr="006525BD">
        <w:rPr>
          <w:i/>
          <w:iCs/>
          <w:color w:val="000000"/>
        </w:rPr>
        <w:t>If GNSS validity duration extension is supported, it should be an independent FG</w:t>
      </w:r>
      <w:r w:rsidR="00A879E9" w:rsidRPr="006525BD">
        <w:rPr>
          <w:i/>
          <w:iCs/>
          <w:color w:val="000000"/>
        </w:rPr>
        <w:t xml:space="preserve"> with the pre-requisite of aperiodic triggered GNSS measurement</w:t>
      </w:r>
      <w:r w:rsidR="00526679" w:rsidRPr="006525BD">
        <w:rPr>
          <w:i/>
          <w:iCs/>
          <w:color w:val="000000"/>
        </w:rPr>
        <w:t xml:space="preserve">. </w:t>
      </w:r>
    </w:p>
    <w:p w14:paraId="0D243DC5" w14:textId="77777777" w:rsidR="006525BD" w:rsidRPr="00526679" w:rsidRDefault="006525BD" w:rsidP="000F70F9">
      <w:pPr>
        <w:jc w:val="both"/>
        <w:rPr>
          <w:b/>
          <w:bCs/>
          <w:color w:val="000000"/>
        </w:rPr>
      </w:pPr>
    </w:p>
    <w:p w14:paraId="1DE6452F" w14:textId="77777777" w:rsidR="00D12367" w:rsidRPr="00D81859" w:rsidRDefault="00D12367" w:rsidP="00733020">
      <w:pPr>
        <w:pStyle w:val="Heading1"/>
        <w:pBdr>
          <w:top w:val="single" w:sz="12" w:space="0" w:color="auto"/>
        </w:pBdr>
        <w:spacing w:before="120" w:after="120"/>
        <w:ind w:left="562" w:hanging="562"/>
        <w:rPr>
          <w:szCs w:val="36"/>
        </w:rPr>
      </w:pPr>
      <w:r w:rsidRPr="00D81859">
        <w:rPr>
          <w:szCs w:val="36"/>
        </w:rPr>
        <w:t>Summary</w:t>
      </w:r>
    </w:p>
    <w:p w14:paraId="29013C14" w14:textId="024559B2"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Rel-18 IoT NTN enhancement</w:t>
      </w:r>
      <w:r w:rsidR="00A33B6D" w:rsidRPr="00D35D6F">
        <w:rPr>
          <w:rFonts w:eastAsia="MS Mincho"/>
          <w:lang w:eastAsia="ja-JP"/>
        </w:rPr>
        <w:t xml:space="preserve"> UE capability</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38A90DC1" w14:textId="77777777" w:rsidR="000F70F9" w:rsidRDefault="000F70F9" w:rsidP="000F70F9">
      <w:pPr>
        <w:jc w:val="both"/>
        <w:rPr>
          <w:b/>
          <w:bCs/>
          <w:i/>
          <w:iCs/>
          <w:u w:val="single"/>
        </w:rPr>
      </w:pPr>
    </w:p>
    <w:p w14:paraId="342EDE3B" w14:textId="0266B136" w:rsidR="008E02C6" w:rsidRDefault="008E02C6" w:rsidP="000F70F9">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sidRPr="0020245A">
        <w:rPr>
          <w:i/>
          <w:iCs/>
        </w:rPr>
        <w:t>D</w:t>
      </w:r>
      <w:r>
        <w:rPr>
          <w:i/>
          <w:iCs/>
        </w:rPr>
        <w:t xml:space="preserve">efine a UE FG of disabling HARQ feedback for downlink transmissions for NB-IoT, including the following component </w:t>
      </w:r>
    </w:p>
    <w:p w14:paraId="5721693F" w14:textId="16E0857F" w:rsidR="008E02C6" w:rsidRPr="008E02C6" w:rsidRDefault="008E02C6" w:rsidP="000F70F9">
      <w:pPr>
        <w:pStyle w:val="ListParagraph"/>
        <w:numPr>
          <w:ilvl w:val="0"/>
          <w:numId w:val="51"/>
        </w:numPr>
        <w:jc w:val="both"/>
        <w:rPr>
          <w:i/>
          <w:iCs/>
        </w:rPr>
      </w:pPr>
      <w:r>
        <w:rPr>
          <w:i/>
          <w:iCs/>
        </w:rPr>
        <w:t xml:space="preserve">For dynamic grant PDSCH, sending HARQ feedback only for HARQ processes, which are either configured with enabled HARQ feedback or dynamically indicated for HARQ feedback.  </w:t>
      </w:r>
    </w:p>
    <w:p w14:paraId="3935AAF0" w14:textId="77777777" w:rsidR="000F70F9" w:rsidRDefault="000F70F9" w:rsidP="000F70F9">
      <w:pPr>
        <w:jc w:val="both"/>
        <w:rPr>
          <w:b/>
          <w:bCs/>
          <w:i/>
          <w:iCs/>
          <w:u w:val="single"/>
        </w:rPr>
      </w:pPr>
    </w:p>
    <w:p w14:paraId="7BA8A18D" w14:textId="0F2929CF" w:rsidR="008E02C6" w:rsidRDefault="008E02C6" w:rsidP="000F70F9">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Pr="0020245A">
        <w:rPr>
          <w:i/>
          <w:iCs/>
        </w:rPr>
        <w:t>D</w:t>
      </w:r>
      <w:r>
        <w:rPr>
          <w:i/>
          <w:iCs/>
        </w:rPr>
        <w:t xml:space="preserve">efine a UE FG of disabling HARQ feedback for downlink transmissions for eMTC, including the following component </w:t>
      </w:r>
    </w:p>
    <w:p w14:paraId="0F4A8780" w14:textId="4D0260C4" w:rsidR="008E02C6" w:rsidRPr="008E02C6" w:rsidRDefault="008E02C6" w:rsidP="000F70F9">
      <w:pPr>
        <w:pStyle w:val="ListParagraph"/>
        <w:numPr>
          <w:ilvl w:val="0"/>
          <w:numId w:val="51"/>
        </w:numPr>
        <w:jc w:val="both"/>
        <w:rPr>
          <w:i/>
          <w:iCs/>
        </w:rPr>
      </w:pPr>
      <w:r>
        <w:rPr>
          <w:i/>
          <w:iCs/>
        </w:rPr>
        <w:t xml:space="preserve">For dynamic grant PDSCH, sending HARQ feedback only for HARQ processes, which are either configured with enabled HARQ feedback or dynamically indicated with enabled HARQ feedback. </w:t>
      </w:r>
    </w:p>
    <w:p w14:paraId="44FD2A93" w14:textId="77777777" w:rsidR="000F70F9" w:rsidRDefault="000F70F9" w:rsidP="000F70F9">
      <w:pPr>
        <w:jc w:val="both"/>
        <w:rPr>
          <w:b/>
          <w:bCs/>
          <w:i/>
          <w:iCs/>
          <w:u w:val="single"/>
        </w:rPr>
      </w:pPr>
    </w:p>
    <w:p w14:paraId="294669C9" w14:textId="0BC5F964" w:rsidR="008E02C6" w:rsidRDefault="008E02C6" w:rsidP="000F70F9">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sidRPr="0020245A">
        <w:rPr>
          <w:i/>
          <w:iCs/>
        </w:rPr>
        <w:t>D</w:t>
      </w:r>
      <w:r>
        <w:rPr>
          <w:i/>
          <w:iCs/>
        </w:rPr>
        <w:t>efine a UE FG of disabling HARQ feedback for downlink transmissions for eMTC, including the following components</w:t>
      </w:r>
    </w:p>
    <w:p w14:paraId="0D550E94" w14:textId="77777777" w:rsidR="008E02C6" w:rsidRDefault="008E02C6" w:rsidP="000F70F9">
      <w:pPr>
        <w:pStyle w:val="ListParagraph"/>
        <w:numPr>
          <w:ilvl w:val="0"/>
          <w:numId w:val="51"/>
        </w:numPr>
        <w:jc w:val="both"/>
        <w:rPr>
          <w:i/>
          <w:iCs/>
        </w:rPr>
      </w:pPr>
      <w:r>
        <w:rPr>
          <w:i/>
          <w:iCs/>
        </w:rPr>
        <w:t>For dynamic grant PDSCH, sending HARQ feedback only for HARQ processes configured with enabled HARQ feedback.</w:t>
      </w:r>
    </w:p>
    <w:p w14:paraId="131CECFB" w14:textId="77777777" w:rsidR="008E02C6" w:rsidRPr="003F3314" w:rsidRDefault="008E02C6" w:rsidP="000F70F9">
      <w:pPr>
        <w:pStyle w:val="ListParagraph"/>
        <w:numPr>
          <w:ilvl w:val="0"/>
          <w:numId w:val="51"/>
        </w:numPr>
        <w:jc w:val="both"/>
        <w:rPr>
          <w:i/>
          <w:iCs/>
        </w:rPr>
      </w:pPr>
      <w:r>
        <w:rPr>
          <w:i/>
          <w:iCs/>
        </w:rPr>
        <w:t>For the first SPS PDSCH after activation, sending HARQ feedback only if HARQ feedback for SPS activation is additionally enabled or for HARQ processes configured with enabled HARQ feedback.</w:t>
      </w:r>
    </w:p>
    <w:p w14:paraId="2F11A0CF" w14:textId="40DB0485" w:rsidR="008E02C6" w:rsidRPr="008E02C6" w:rsidRDefault="008E02C6" w:rsidP="000F70F9">
      <w:pPr>
        <w:pStyle w:val="ListParagraph"/>
        <w:numPr>
          <w:ilvl w:val="0"/>
          <w:numId w:val="51"/>
        </w:numPr>
        <w:jc w:val="both"/>
        <w:rPr>
          <w:i/>
          <w:iCs/>
        </w:rPr>
      </w:pPr>
      <w:r>
        <w:rPr>
          <w:i/>
          <w:iCs/>
        </w:rPr>
        <w:t>For SPS PDSCH except the first SPS PDSCH after activation, sending HARQ feedback only for HARQ processes configured with enabled HARQ feedback.</w:t>
      </w:r>
    </w:p>
    <w:p w14:paraId="40CAC108" w14:textId="77777777" w:rsidR="000F70F9" w:rsidRDefault="000F70F9" w:rsidP="000F70F9">
      <w:pPr>
        <w:jc w:val="both"/>
        <w:rPr>
          <w:b/>
          <w:bCs/>
          <w:i/>
          <w:iCs/>
          <w:color w:val="000000"/>
          <w:u w:val="single"/>
        </w:rPr>
      </w:pPr>
    </w:p>
    <w:p w14:paraId="0EF84FA6" w14:textId="3267523D" w:rsidR="008E02C6" w:rsidRDefault="008E02C6" w:rsidP="000F70F9">
      <w:pPr>
        <w:jc w:val="both"/>
        <w:rPr>
          <w:i/>
          <w:iCs/>
          <w:color w:val="000000"/>
        </w:rPr>
      </w:pPr>
      <w:r w:rsidRPr="006525BD">
        <w:rPr>
          <w:b/>
          <w:bCs/>
          <w:i/>
          <w:iCs/>
          <w:color w:val="000000"/>
          <w:u w:val="single"/>
        </w:rPr>
        <w:t xml:space="preserve">Proposal </w:t>
      </w:r>
      <w:r>
        <w:rPr>
          <w:b/>
          <w:bCs/>
          <w:i/>
          <w:iCs/>
          <w:color w:val="000000"/>
          <w:u w:val="single"/>
        </w:rPr>
        <w:t>4</w:t>
      </w:r>
      <w:r w:rsidRPr="006525BD">
        <w:rPr>
          <w:b/>
          <w:bCs/>
          <w:i/>
          <w:iCs/>
          <w:color w:val="000000"/>
          <w:u w:val="single"/>
        </w:rPr>
        <w:t>:</w:t>
      </w:r>
      <w:r w:rsidRPr="006525BD">
        <w:rPr>
          <w:i/>
          <w:iCs/>
          <w:color w:val="000000"/>
        </w:rPr>
        <w:t xml:space="preserve"> Define </w:t>
      </w:r>
      <w:r>
        <w:rPr>
          <w:i/>
          <w:iCs/>
          <w:color w:val="000000"/>
        </w:rPr>
        <w:t xml:space="preserve">a </w:t>
      </w:r>
      <w:r w:rsidRPr="006525BD">
        <w:rPr>
          <w:i/>
          <w:iCs/>
          <w:color w:val="000000"/>
        </w:rPr>
        <w:t xml:space="preserve">UE FG for aperiodic triggered GNSS measurement, including the following components </w:t>
      </w:r>
    </w:p>
    <w:p w14:paraId="6714559D" w14:textId="77777777" w:rsidR="008E02C6" w:rsidRPr="006525BD" w:rsidRDefault="008E02C6" w:rsidP="000F70F9">
      <w:pPr>
        <w:pStyle w:val="ListParagraph"/>
        <w:numPr>
          <w:ilvl w:val="0"/>
          <w:numId w:val="51"/>
        </w:numPr>
        <w:jc w:val="both"/>
        <w:rPr>
          <w:i/>
          <w:iCs/>
          <w:color w:val="000000"/>
        </w:rPr>
      </w:pPr>
      <w:r w:rsidRPr="006525BD">
        <w:rPr>
          <w:i/>
          <w:iCs/>
          <w:color w:val="000000"/>
        </w:rPr>
        <w:t xml:space="preserve">GNSS position fix time duration reporting, </w:t>
      </w:r>
    </w:p>
    <w:p w14:paraId="12255EBA" w14:textId="77777777" w:rsidR="008E02C6" w:rsidRPr="006525BD" w:rsidRDefault="008E02C6" w:rsidP="000F70F9">
      <w:pPr>
        <w:pStyle w:val="ListParagraph"/>
        <w:numPr>
          <w:ilvl w:val="0"/>
          <w:numId w:val="51"/>
        </w:numPr>
        <w:jc w:val="both"/>
        <w:rPr>
          <w:i/>
          <w:iCs/>
          <w:color w:val="000000"/>
        </w:rPr>
      </w:pPr>
      <w:r w:rsidRPr="006525BD">
        <w:rPr>
          <w:i/>
          <w:iCs/>
          <w:color w:val="000000"/>
        </w:rPr>
        <w:t xml:space="preserve">GNSS measurement gap configuration, </w:t>
      </w:r>
    </w:p>
    <w:p w14:paraId="3EAFAE42" w14:textId="77777777" w:rsidR="008E02C6" w:rsidRPr="006525BD" w:rsidRDefault="008E02C6" w:rsidP="000F70F9">
      <w:pPr>
        <w:pStyle w:val="ListParagraph"/>
        <w:numPr>
          <w:ilvl w:val="0"/>
          <w:numId w:val="51"/>
        </w:numPr>
        <w:jc w:val="both"/>
        <w:rPr>
          <w:i/>
          <w:iCs/>
          <w:color w:val="000000"/>
        </w:rPr>
      </w:pPr>
      <w:r w:rsidRPr="006525BD">
        <w:rPr>
          <w:i/>
          <w:iCs/>
          <w:color w:val="000000"/>
        </w:rPr>
        <w:t>the starting time of GNSS measurement,</w:t>
      </w:r>
    </w:p>
    <w:p w14:paraId="326A3C37" w14:textId="1B6D206C" w:rsidR="008E02C6" w:rsidRPr="008E02C6" w:rsidRDefault="008E02C6" w:rsidP="000F70F9">
      <w:pPr>
        <w:pStyle w:val="ListParagraph"/>
        <w:numPr>
          <w:ilvl w:val="0"/>
          <w:numId w:val="51"/>
        </w:numPr>
        <w:jc w:val="both"/>
        <w:rPr>
          <w:i/>
          <w:iCs/>
          <w:color w:val="000000"/>
        </w:rPr>
      </w:pPr>
      <w:r w:rsidRPr="006525BD">
        <w:rPr>
          <w:i/>
          <w:iCs/>
          <w:color w:val="000000"/>
        </w:rPr>
        <w:t>successful GNSS measurement indication.</w:t>
      </w:r>
    </w:p>
    <w:p w14:paraId="184C6E0F" w14:textId="77777777" w:rsidR="000F70F9" w:rsidRDefault="000F70F9" w:rsidP="000F70F9">
      <w:pPr>
        <w:jc w:val="both"/>
        <w:rPr>
          <w:b/>
          <w:bCs/>
          <w:i/>
          <w:iCs/>
          <w:color w:val="000000"/>
          <w:u w:val="single"/>
        </w:rPr>
      </w:pPr>
    </w:p>
    <w:p w14:paraId="4CE34889" w14:textId="7E623306" w:rsidR="00D35D6F" w:rsidRDefault="008E02C6" w:rsidP="000F70F9">
      <w:pPr>
        <w:jc w:val="both"/>
        <w:rPr>
          <w:i/>
          <w:iCs/>
          <w:color w:val="000000"/>
        </w:rPr>
      </w:pPr>
      <w:r w:rsidRPr="006525BD">
        <w:rPr>
          <w:b/>
          <w:bCs/>
          <w:i/>
          <w:iCs/>
          <w:color w:val="000000"/>
          <w:u w:val="single"/>
        </w:rPr>
        <w:t xml:space="preserve">Proposal </w:t>
      </w:r>
      <w:r>
        <w:rPr>
          <w:b/>
          <w:bCs/>
          <w:i/>
          <w:iCs/>
          <w:color w:val="000000"/>
          <w:u w:val="single"/>
        </w:rPr>
        <w:t>5</w:t>
      </w:r>
      <w:r w:rsidRPr="006525BD">
        <w:rPr>
          <w:b/>
          <w:bCs/>
          <w:i/>
          <w:iCs/>
          <w:color w:val="000000"/>
          <w:u w:val="single"/>
        </w:rPr>
        <w:t>:</w:t>
      </w:r>
      <w:r w:rsidRPr="006525BD">
        <w:rPr>
          <w:i/>
          <w:iCs/>
          <w:color w:val="000000"/>
        </w:rPr>
        <w:t xml:space="preserve"> If GNSS validity duration extension is supported, it should be an independent FG with the pre-requisite of aperiodic triggered GNSS measurement. </w:t>
      </w:r>
    </w:p>
    <w:p w14:paraId="7D39819F" w14:textId="77777777" w:rsidR="00733020" w:rsidRPr="008E02C6" w:rsidRDefault="00733020" w:rsidP="000F70F9">
      <w:pPr>
        <w:jc w:val="both"/>
        <w:rPr>
          <w:i/>
          <w:iCs/>
          <w:color w:val="000000"/>
        </w:rPr>
      </w:pPr>
    </w:p>
    <w:p w14:paraId="4949E188" w14:textId="4ED5FCE2" w:rsidR="0000192E" w:rsidRPr="001E6B6F" w:rsidRDefault="0017048A" w:rsidP="00733020">
      <w:pPr>
        <w:pStyle w:val="Heading1"/>
        <w:spacing w:before="120" w:after="120"/>
        <w:ind w:left="562" w:hanging="562"/>
        <w:rPr>
          <w:szCs w:val="36"/>
        </w:rPr>
      </w:pPr>
      <w:r w:rsidRPr="001E6B6F">
        <w:rPr>
          <w:szCs w:val="36"/>
        </w:rPr>
        <w:t>References</w:t>
      </w:r>
      <w:bookmarkStart w:id="2" w:name="_Ref523487962"/>
      <w:bookmarkStart w:id="3" w:name="_Ref523653838"/>
    </w:p>
    <w:p w14:paraId="732094CB" w14:textId="77777777" w:rsidR="0047712A" w:rsidRDefault="0047712A" w:rsidP="00BC6BF8">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4" w:name="OLE_LINK1"/>
      <w:bookmarkStart w:id="5" w:name="OLE_LINK2"/>
      <w:bookmarkStart w:id="6" w:name="_Ref99716514"/>
      <w:bookmarkStart w:id="7" w:name="_Ref46220695"/>
      <w:bookmarkEnd w:id="2"/>
      <w:bookmarkEnd w:id="3"/>
      <w:r>
        <w:t>RP-213596, “New WID on IoT NTN enhancements,” Dec. 2021</w:t>
      </w:r>
    </w:p>
    <w:p w14:paraId="43F920D0" w14:textId="35D177E3" w:rsidR="0047712A" w:rsidRDefault="0047712A" w:rsidP="00BC6BF8">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8" w:name="_Ref100217924"/>
      <w:bookmarkEnd w:id="4"/>
      <w:bookmarkEnd w:id="5"/>
      <w:r w:rsidRPr="00FA72BF">
        <w:t>RP-2</w:t>
      </w:r>
      <w:r>
        <w:t>21806, “Revised WID on IoT NTN enhancements,” Jun. 2022</w:t>
      </w:r>
      <w:bookmarkEnd w:id="6"/>
      <w:bookmarkEnd w:id="8"/>
      <w:r>
        <w:t xml:space="preserve"> </w:t>
      </w:r>
      <w:bookmarkEnd w:id="7"/>
    </w:p>
    <w:p w14:paraId="1F63CCB2" w14:textId="77777777" w:rsidR="008E02C6" w:rsidRDefault="008E02C6" w:rsidP="008E02C6">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9" w:name="_Ref114579056"/>
      <w:r>
        <w:t>Chairman’s Notes, 3GPP TSG RAN WG1 #112bis-e Meeting, Apr. 2023.</w:t>
      </w:r>
      <w:bookmarkEnd w:id="9"/>
    </w:p>
    <w:p w14:paraId="098F4D64" w14:textId="77777777" w:rsidR="00A879E9" w:rsidRPr="00A879E9" w:rsidRDefault="00A879E9" w:rsidP="00C14651">
      <w:pPr>
        <w:widowControl w:val="0"/>
        <w:jc w:val="both"/>
      </w:pPr>
    </w:p>
    <w:sectPr w:rsidR="00A879E9" w:rsidRPr="00A879E9"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B7DBF" w14:textId="77777777" w:rsidR="005016AF" w:rsidRDefault="005016AF">
      <w:r>
        <w:separator/>
      </w:r>
    </w:p>
  </w:endnote>
  <w:endnote w:type="continuationSeparator" w:id="0">
    <w:p w14:paraId="3F038D39" w14:textId="77777777" w:rsidR="005016AF" w:rsidRDefault="005016AF">
      <w:r>
        <w:continuationSeparator/>
      </w:r>
    </w:p>
  </w:endnote>
  <w:endnote w:type="continuationNotice" w:id="1">
    <w:p w14:paraId="6B318F10" w14:textId="77777777" w:rsidR="005016AF" w:rsidRDefault="00501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12C79" w14:textId="77777777" w:rsidR="005016AF" w:rsidRDefault="005016AF">
      <w:r>
        <w:separator/>
      </w:r>
    </w:p>
  </w:footnote>
  <w:footnote w:type="continuationSeparator" w:id="0">
    <w:p w14:paraId="49604856" w14:textId="77777777" w:rsidR="005016AF" w:rsidRDefault="005016AF">
      <w:r>
        <w:continuationSeparator/>
      </w:r>
    </w:p>
  </w:footnote>
  <w:footnote w:type="continuationNotice" w:id="1">
    <w:p w14:paraId="2DDC636A" w14:textId="77777777" w:rsidR="005016AF" w:rsidRDefault="005016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2"/>
  </w:num>
  <w:num w:numId="2" w16cid:durableId="1851333213">
    <w:abstractNumId w:val="11"/>
  </w:num>
  <w:num w:numId="3" w16cid:durableId="1685128487">
    <w:abstractNumId w:val="15"/>
  </w:num>
  <w:num w:numId="4" w16cid:durableId="74283975">
    <w:abstractNumId w:val="2"/>
  </w:num>
  <w:num w:numId="5" w16cid:durableId="1926457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7"/>
  </w:num>
  <w:num w:numId="7" w16cid:durableId="1093207114">
    <w:abstractNumId w:val="35"/>
  </w:num>
  <w:num w:numId="8" w16cid:durableId="1720472842">
    <w:abstractNumId w:val="21"/>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44"/>
  </w:num>
  <w:num w:numId="14" w16cid:durableId="1132333363">
    <w:abstractNumId w:val="13"/>
  </w:num>
  <w:num w:numId="15" w16cid:durableId="474181624">
    <w:abstractNumId w:val="36"/>
  </w:num>
  <w:num w:numId="16" w16cid:durableId="1307587963">
    <w:abstractNumId w:val="0"/>
  </w:num>
  <w:num w:numId="17" w16cid:durableId="871765446">
    <w:abstractNumId w:val="31"/>
  </w:num>
  <w:num w:numId="18" w16cid:durableId="2069692812">
    <w:abstractNumId w:val="32"/>
  </w:num>
  <w:num w:numId="19" w16cid:durableId="181166348">
    <w:abstractNumId w:val="17"/>
  </w:num>
  <w:num w:numId="20" w16cid:durableId="147138750">
    <w:abstractNumId w:val="20"/>
  </w:num>
  <w:num w:numId="21" w16cid:durableId="989863334">
    <w:abstractNumId w:val="26"/>
  </w:num>
  <w:num w:numId="22" w16cid:durableId="733434517">
    <w:abstractNumId w:val="50"/>
  </w:num>
  <w:num w:numId="23" w16cid:durableId="1765035812">
    <w:abstractNumId w:val="27"/>
  </w:num>
  <w:num w:numId="24" w16cid:durableId="1281230034">
    <w:abstractNumId w:val="25"/>
  </w:num>
  <w:num w:numId="25" w16cid:durableId="576596691">
    <w:abstractNumId w:val="45"/>
  </w:num>
  <w:num w:numId="26" w16cid:durableId="589701820">
    <w:abstractNumId w:val="23"/>
  </w:num>
  <w:num w:numId="27" w16cid:durableId="1121152205">
    <w:abstractNumId w:val="18"/>
  </w:num>
  <w:num w:numId="28" w16cid:durableId="1604609306">
    <w:abstractNumId w:val="30"/>
  </w:num>
  <w:num w:numId="29" w16cid:durableId="1874659462">
    <w:abstractNumId w:val="48"/>
  </w:num>
  <w:num w:numId="30" w16cid:durableId="718289596">
    <w:abstractNumId w:val="41"/>
  </w:num>
  <w:num w:numId="31" w16cid:durableId="1898397775">
    <w:abstractNumId w:val="7"/>
  </w:num>
  <w:num w:numId="32" w16cid:durableId="1487092995">
    <w:abstractNumId w:val="51"/>
  </w:num>
  <w:num w:numId="33" w16cid:durableId="1308900009">
    <w:abstractNumId w:val="14"/>
  </w:num>
  <w:num w:numId="34" w16cid:durableId="501507485">
    <w:abstractNumId w:val="42"/>
  </w:num>
  <w:num w:numId="35" w16cid:durableId="235749929">
    <w:abstractNumId w:val="9"/>
  </w:num>
  <w:num w:numId="36" w16cid:durableId="1355958128">
    <w:abstractNumId w:val="38"/>
  </w:num>
  <w:num w:numId="37" w16cid:durableId="29113399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7"/>
  </w:num>
  <w:num w:numId="39" w16cid:durableId="224146188">
    <w:abstractNumId w:val="19"/>
  </w:num>
  <w:num w:numId="40" w16cid:durableId="504327539">
    <w:abstractNumId w:val="16"/>
  </w:num>
  <w:num w:numId="41" w16cid:durableId="629432138">
    <w:abstractNumId w:val="28"/>
  </w:num>
  <w:num w:numId="42" w16cid:durableId="1312754224">
    <w:abstractNumId w:val="49"/>
  </w:num>
  <w:num w:numId="43" w16cid:durableId="1116098019">
    <w:abstractNumId w:val="46"/>
  </w:num>
  <w:num w:numId="44" w16cid:durableId="1368721566">
    <w:abstractNumId w:val="29"/>
  </w:num>
  <w:num w:numId="45" w16cid:durableId="545457674">
    <w:abstractNumId w:val="4"/>
  </w:num>
  <w:num w:numId="46" w16cid:durableId="1328829993">
    <w:abstractNumId w:val="10"/>
  </w:num>
  <w:num w:numId="47" w16cid:durableId="1720784131">
    <w:abstractNumId w:val="40"/>
  </w:num>
  <w:num w:numId="48" w16cid:durableId="578759617">
    <w:abstractNumId w:val="43"/>
  </w:num>
  <w:num w:numId="49" w16cid:durableId="655648699">
    <w:abstractNumId w:val="39"/>
  </w:num>
  <w:num w:numId="50" w16cid:durableId="1343505269">
    <w:abstractNumId w:val="34"/>
  </w:num>
  <w:num w:numId="51" w16cid:durableId="769931533">
    <w:abstractNumId w:val="33"/>
  </w:num>
  <w:num w:numId="52" w16cid:durableId="204565619">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999"/>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6AF"/>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6DF"/>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020"/>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4F3"/>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04F"/>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9BB"/>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CFC"/>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145</TotalTime>
  <Pages>3</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7757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14</cp:revision>
  <cp:lastPrinted>2019-08-16T17:50:00Z</cp:lastPrinted>
  <dcterms:created xsi:type="dcterms:W3CDTF">2023-05-11T07:20:00Z</dcterms:created>
  <dcterms:modified xsi:type="dcterms:W3CDTF">2023-05-12T22:20:00Z</dcterms:modified>
  <cp:category/>
</cp:coreProperties>
</file>